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7B" w:rsidRDefault="008103BD" w:rsidP="00A7297B">
      <w:pPr>
        <w:pStyle w:val="Titre2"/>
        <w:rPr>
          <w:rtl/>
        </w:rPr>
      </w:pPr>
      <w:r w:rsidRPr="008103BD">
        <w:rPr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-23495</wp:posOffset>
            </wp:positionV>
            <wp:extent cx="1028700" cy="933450"/>
            <wp:effectExtent l="19050" t="0" r="0" b="0"/>
            <wp:wrapNone/>
            <wp:docPr id="1" name="Image 3" descr="logo FT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FTU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5C4" w:rsidRPr="00BC25C4" w:rsidRDefault="00BC25C4" w:rsidP="00BC25C4">
      <w:pPr>
        <w:rPr>
          <w:lang w:bidi="ar-TN"/>
        </w:rPr>
      </w:pPr>
    </w:p>
    <w:p w:rsidR="00A7297B" w:rsidRDefault="00A7297B" w:rsidP="00A7297B">
      <w:pPr>
        <w:rPr>
          <w:lang w:bidi="ar-TN"/>
        </w:rPr>
      </w:pPr>
    </w:p>
    <w:p w:rsidR="00A7297B" w:rsidRDefault="00A7297B" w:rsidP="00A7297B">
      <w:pPr>
        <w:bidi/>
        <w:jc w:val="center"/>
        <w:rPr>
          <w:rFonts w:ascii="Tahoma" w:hAnsi="Tahoma" w:cs="Tahoma"/>
          <w:b/>
          <w:bCs/>
          <w:sz w:val="36"/>
          <w:szCs w:val="36"/>
          <w:rtl/>
          <w:lang w:bidi="ar-TN"/>
        </w:rPr>
      </w:pPr>
    </w:p>
    <w:p w:rsidR="00A7297B" w:rsidRDefault="00A7297B" w:rsidP="00A7297B">
      <w:pPr>
        <w:pStyle w:val="Titre1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الــجـامـعــة الــتـونــسـيــة لـشركــات الــتـأمــيــــن</w:t>
      </w:r>
    </w:p>
    <w:p w:rsidR="00A7297B" w:rsidRDefault="00A7297B" w:rsidP="00A7297B">
      <w:pPr>
        <w:bidi/>
        <w:jc w:val="center"/>
        <w:rPr>
          <w:b/>
          <w:bCs/>
          <w:sz w:val="36"/>
          <w:szCs w:val="36"/>
          <w:rtl/>
          <w:lang w:bidi="ar-TN"/>
        </w:rPr>
      </w:pPr>
    </w:p>
    <w:p w:rsidR="00A7297B" w:rsidRDefault="00A7297B" w:rsidP="00A7297B">
      <w:pPr>
        <w:pStyle w:val="Titre1"/>
        <w:rPr>
          <w:rtl/>
        </w:rPr>
      </w:pPr>
      <w:proofErr w:type="gramStart"/>
      <w:r>
        <w:rPr>
          <w:rFonts w:hint="cs"/>
          <w:rtl/>
        </w:rPr>
        <w:t>بـــــــــلاغ</w:t>
      </w:r>
      <w:proofErr w:type="gramEnd"/>
      <w:r>
        <w:rPr>
          <w:rFonts w:hint="cs"/>
          <w:rtl/>
        </w:rPr>
        <w:t xml:space="preserve"> </w:t>
      </w:r>
    </w:p>
    <w:p w:rsidR="00A7297B" w:rsidRDefault="00A7297B" w:rsidP="00A7297B">
      <w:pPr>
        <w:bidi/>
        <w:rPr>
          <w:rtl/>
          <w:lang w:bidi="ar-TN"/>
        </w:rPr>
      </w:pPr>
    </w:p>
    <w:p w:rsidR="0081121B" w:rsidRDefault="0081121B" w:rsidP="005B5AF1">
      <w:pPr>
        <w:bidi/>
        <w:jc w:val="both"/>
        <w:rPr>
          <w:b/>
          <w:bCs/>
          <w:sz w:val="32"/>
          <w:szCs w:val="32"/>
          <w:rtl/>
          <w:lang w:bidi="ar-TN"/>
        </w:rPr>
      </w:pPr>
    </w:p>
    <w:p w:rsidR="004C75A2" w:rsidRDefault="00A7297B" w:rsidP="004C75A2">
      <w:pPr>
        <w:bidi/>
        <w:jc w:val="both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في إطار حرصها على ضمان حسن تنفيذ </w:t>
      </w:r>
      <w:r w:rsidR="00AA7814">
        <w:rPr>
          <w:rFonts w:hint="cs"/>
          <w:b/>
          <w:bCs/>
          <w:sz w:val="32"/>
          <w:szCs w:val="32"/>
          <w:rtl/>
          <w:lang w:bidi="ar-TN"/>
        </w:rPr>
        <w:t xml:space="preserve">أحكام الفصل 56 من قانون المالية لسنة 2016 المؤرخ في 25 ديسمبر 2015 </w:t>
      </w:r>
      <w:r w:rsidR="004C75A2">
        <w:rPr>
          <w:rFonts w:hint="cs"/>
          <w:b/>
          <w:bCs/>
          <w:sz w:val="32"/>
          <w:szCs w:val="32"/>
          <w:rtl/>
          <w:lang w:bidi="ar-TN"/>
        </w:rPr>
        <w:t>حول</w:t>
      </w:r>
      <w:r w:rsidR="00AA7814">
        <w:rPr>
          <w:rFonts w:hint="cs"/>
          <w:b/>
          <w:bCs/>
          <w:sz w:val="32"/>
          <w:szCs w:val="32"/>
          <w:rtl/>
          <w:lang w:bidi="ar-TN"/>
        </w:rPr>
        <w:t xml:space="preserve"> تحسين </w:t>
      </w:r>
      <w:proofErr w:type="spellStart"/>
      <w:r w:rsidR="00AA7814">
        <w:rPr>
          <w:rFonts w:hint="cs"/>
          <w:b/>
          <w:bCs/>
          <w:sz w:val="32"/>
          <w:szCs w:val="32"/>
          <w:rtl/>
          <w:lang w:bidi="ar-TN"/>
        </w:rPr>
        <w:t>إستخلاص</w:t>
      </w:r>
      <w:proofErr w:type="spellEnd"/>
      <w:r w:rsidR="00AA7814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proofErr w:type="spellStart"/>
      <w:r w:rsidR="00AA7814">
        <w:rPr>
          <w:rFonts w:hint="cs"/>
          <w:b/>
          <w:bCs/>
          <w:sz w:val="32"/>
          <w:szCs w:val="32"/>
          <w:rtl/>
          <w:lang w:bidi="ar-TN"/>
        </w:rPr>
        <w:t>معاليم</w:t>
      </w:r>
      <w:proofErr w:type="spellEnd"/>
      <w:r w:rsidR="00AA7814">
        <w:rPr>
          <w:rFonts w:hint="cs"/>
          <w:b/>
          <w:bCs/>
          <w:sz w:val="32"/>
          <w:szCs w:val="32"/>
          <w:rtl/>
          <w:lang w:bidi="ar-TN"/>
        </w:rPr>
        <w:t xml:space="preserve"> الجولان،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تعلم الجامعة التونسية لشركات التأمين </w:t>
      </w:r>
      <w:r w:rsidR="00AA7814">
        <w:rPr>
          <w:rFonts w:hint="cs"/>
          <w:b/>
          <w:bCs/>
          <w:sz w:val="32"/>
          <w:szCs w:val="32"/>
          <w:rtl/>
          <w:lang w:bidi="ar-TN"/>
        </w:rPr>
        <w:t xml:space="preserve">أنه يتعين على </w:t>
      </w:r>
      <w:r w:rsidR="0065209F">
        <w:rPr>
          <w:rFonts w:hint="cs"/>
          <w:b/>
          <w:bCs/>
          <w:sz w:val="32"/>
          <w:szCs w:val="32"/>
          <w:rtl/>
          <w:lang w:bidi="ar-TN"/>
        </w:rPr>
        <w:t xml:space="preserve">كل شخص طبيعي أو معنوي يطلب إبرام عقد تأمين عربة برية ذات محرك جديد أو </w:t>
      </w:r>
      <w:r w:rsidR="00183170">
        <w:rPr>
          <w:rFonts w:hint="cs"/>
          <w:b/>
          <w:bCs/>
          <w:sz w:val="32"/>
          <w:szCs w:val="32"/>
          <w:rtl/>
          <w:lang w:bidi="ar-TN"/>
        </w:rPr>
        <w:t xml:space="preserve">تمديد </w:t>
      </w:r>
      <w:r w:rsidR="0065209F">
        <w:rPr>
          <w:rFonts w:hint="cs"/>
          <w:b/>
          <w:bCs/>
          <w:sz w:val="32"/>
          <w:szCs w:val="32"/>
          <w:rtl/>
          <w:lang w:bidi="ar-TN"/>
        </w:rPr>
        <w:t>عقد تأمين</w:t>
      </w:r>
      <w:r w:rsidR="005B5AF1">
        <w:rPr>
          <w:rFonts w:hint="cs"/>
          <w:b/>
          <w:bCs/>
          <w:sz w:val="32"/>
          <w:szCs w:val="32"/>
          <w:rtl/>
          <w:lang w:bidi="ar-TN"/>
        </w:rPr>
        <w:t xml:space="preserve"> ساري المفعول،</w:t>
      </w:r>
      <w:r w:rsidR="0065209F">
        <w:rPr>
          <w:rFonts w:hint="cs"/>
          <w:b/>
          <w:bCs/>
          <w:sz w:val="32"/>
          <w:szCs w:val="32"/>
          <w:rtl/>
          <w:lang w:bidi="ar-TN"/>
        </w:rPr>
        <w:t xml:space="preserve"> أن يقدّم نسخة من وصل خلاص </w:t>
      </w:r>
      <w:proofErr w:type="spellStart"/>
      <w:r w:rsidR="0065209F">
        <w:rPr>
          <w:rFonts w:hint="cs"/>
          <w:b/>
          <w:bCs/>
          <w:sz w:val="32"/>
          <w:szCs w:val="32"/>
          <w:rtl/>
          <w:lang w:bidi="ar-TN"/>
        </w:rPr>
        <w:t>معاليم</w:t>
      </w:r>
      <w:proofErr w:type="spellEnd"/>
      <w:r w:rsidR="0065209F">
        <w:rPr>
          <w:rFonts w:hint="cs"/>
          <w:b/>
          <w:bCs/>
          <w:sz w:val="32"/>
          <w:szCs w:val="32"/>
          <w:rtl/>
          <w:lang w:bidi="ar-TN"/>
        </w:rPr>
        <w:t xml:space="preserve"> الجولان بعنوان الفترة التي حلّ أجل </w:t>
      </w:r>
      <w:proofErr w:type="spellStart"/>
      <w:r w:rsidR="0065209F">
        <w:rPr>
          <w:rFonts w:hint="cs"/>
          <w:b/>
          <w:bCs/>
          <w:sz w:val="32"/>
          <w:szCs w:val="32"/>
          <w:rtl/>
          <w:lang w:bidi="ar-TN"/>
        </w:rPr>
        <w:t>إستخلاص</w:t>
      </w:r>
      <w:proofErr w:type="spellEnd"/>
      <w:r w:rsidR="0065209F">
        <w:rPr>
          <w:rFonts w:hint="cs"/>
          <w:b/>
          <w:bCs/>
          <w:sz w:val="32"/>
          <w:szCs w:val="32"/>
          <w:rtl/>
          <w:lang w:bidi="ar-TN"/>
        </w:rPr>
        <w:t xml:space="preserve"> المعلوم بشأنها في تاريخ تسليم شهادات التأمين</w:t>
      </w:r>
      <w:r w:rsidR="00183170">
        <w:rPr>
          <w:rFonts w:hint="cs"/>
          <w:b/>
          <w:bCs/>
          <w:sz w:val="32"/>
          <w:szCs w:val="32"/>
          <w:rtl/>
          <w:lang w:bidi="ar-TN"/>
        </w:rPr>
        <w:t>.</w:t>
      </w:r>
      <w:r w:rsidR="004C75A2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A7297B" w:rsidRDefault="004C75A2" w:rsidP="004C75A2">
      <w:pPr>
        <w:bidi/>
        <w:jc w:val="both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كما تعلم أنه لا يمكن لمؤسسات التأمين ووسطاء التأمين</w:t>
      </w:r>
      <w:r w:rsidR="00BC25C4">
        <w:rPr>
          <w:rFonts w:hint="cs"/>
          <w:b/>
          <w:bCs/>
          <w:sz w:val="32"/>
          <w:szCs w:val="32"/>
          <w:rtl/>
          <w:lang w:bidi="ar-TN"/>
        </w:rPr>
        <w:t xml:space="preserve"> تسليم شهادات تأمين العربات في صورة عدم تقديم نسخة من وصل خلاص </w:t>
      </w:r>
      <w:proofErr w:type="spellStart"/>
      <w:r w:rsidR="00BC25C4">
        <w:rPr>
          <w:rFonts w:hint="cs"/>
          <w:b/>
          <w:bCs/>
          <w:sz w:val="32"/>
          <w:szCs w:val="32"/>
          <w:rtl/>
          <w:lang w:bidi="ar-TN"/>
        </w:rPr>
        <w:t>معاليم</w:t>
      </w:r>
      <w:proofErr w:type="spellEnd"/>
      <w:r w:rsidR="00BC25C4">
        <w:rPr>
          <w:rFonts w:hint="cs"/>
          <w:b/>
          <w:bCs/>
          <w:sz w:val="32"/>
          <w:szCs w:val="32"/>
          <w:rtl/>
          <w:lang w:bidi="ar-TN"/>
        </w:rPr>
        <w:t xml:space="preserve"> الجولان الخاصة </w:t>
      </w:r>
      <w:proofErr w:type="spellStart"/>
      <w:r w:rsidR="00BC25C4">
        <w:rPr>
          <w:rFonts w:hint="cs"/>
          <w:b/>
          <w:bCs/>
          <w:sz w:val="32"/>
          <w:szCs w:val="32"/>
          <w:rtl/>
          <w:lang w:bidi="ar-TN"/>
        </w:rPr>
        <w:t>بها</w:t>
      </w:r>
      <w:proofErr w:type="spellEnd"/>
      <w:r w:rsidR="00BC25C4">
        <w:rPr>
          <w:rFonts w:hint="cs"/>
          <w:b/>
          <w:bCs/>
          <w:sz w:val="32"/>
          <w:szCs w:val="32"/>
          <w:rtl/>
          <w:lang w:bidi="ar-TN"/>
        </w:rPr>
        <w:t>.</w:t>
      </w:r>
      <w:r w:rsidR="0065209F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AA7814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AA7814" w:rsidRPr="0047192E" w:rsidRDefault="00AA7814" w:rsidP="00AA7814">
      <w:pPr>
        <w:bidi/>
        <w:ind w:left="954" w:right="-57"/>
        <w:jc w:val="both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</w:p>
    <w:p w:rsidR="00AA7814" w:rsidRDefault="00AA7814" w:rsidP="00AA7814">
      <w:pPr>
        <w:bidi/>
        <w:ind w:left="1" w:hanging="180"/>
        <w:jc w:val="center"/>
        <w:rPr>
          <w:rFonts w:ascii="Calibri" w:eastAsia="Times New Roman" w:hAnsi="Calibri" w:cs="Andalus"/>
          <w:b/>
          <w:bCs/>
          <w:sz w:val="36"/>
          <w:szCs w:val="36"/>
          <w:rtl/>
          <w:lang w:bidi="ar-TN"/>
        </w:rPr>
      </w:pPr>
    </w:p>
    <w:p w:rsidR="00A7297B" w:rsidRDefault="00A7297B" w:rsidP="00A7297B">
      <w:pPr>
        <w:bidi/>
        <w:rPr>
          <w:lang w:bidi="ar-TN"/>
        </w:rPr>
      </w:pPr>
    </w:p>
    <w:p w:rsidR="00A7297B" w:rsidRDefault="00A7297B" w:rsidP="00A7297B">
      <w:pPr>
        <w:bidi/>
        <w:rPr>
          <w:rtl/>
        </w:rPr>
      </w:pPr>
    </w:p>
    <w:p w:rsidR="00A7297B" w:rsidRDefault="00A7297B" w:rsidP="00A7297B">
      <w:pPr>
        <w:bidi/>
      </w:pPr>
    </w:p>
    <w:p w:rsidR="00995771" w:rsidRDefault="00995771" w:rsidP="00995771">
      <w:pPr>
        <w:bidi/>
      </w:pPr>
    </w:p>
    <w:p w:rsidR="00995771" w:rsidRDefault="00995771" w:rsidP="00995771">
      <w:pPr>
        <w:bidi/>
      </w:pPr>
    </w:p>
    <w:p w:rsidR="008103BD" w:rsidRDefault="008103BD" w:rsidP="008103BD">
      <w:pPr>
        <w:bidi/>
      </w:pPr>
    </w:p>
    <w:p w:rsidR="008103BD" w:rsidRDefault="008103BD" w:rsidP="008103BD">
      <w:pPr>
        <w:bidi/>
      </w:pPr>
    </w:p>
    <w:p w:rsidR="00995771" w:rsidRDefault="00995771" w:rsidP="00995771">
      <w:pPr>
        <w:bidi/>
      </w:pPr>
    </w:p>
    <w:p w:rsidR="00222C11" w:rsidRDefault="00222C11" w:rsidP="00222C11">
      <w:pPr>
        <w:bidi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-175895</wp:posOffset>
            </wp:positionV>
            <wp:extent cx="1028700" cy="933450"/>
            <wp:effectExtent l="19050" t="0" r="0" b="0"/>
            <wp:wrapNone/>
            <wp:docPr id="3" name="Image 3" descr="logo FT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FTU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22C11" w:rsidRDefault="00222C11" w:rsidP="00222C11">
      <w:pPr>
        <w:bidi/>
        <w:jc w:val="center"/>
        <w:rPr>
          <w:rFonts w:ascii="Tahoma" w:hAnsi="Tahoma" w:cs="Tahoma"/>
          <w:b/>
          <w:bCs/>
          <w:sz w:val="36"/>
          <w:szCs w:val="36"/>
        </w:rPr>
      </w:pPr>
    </w:p>
    <w:p w:rsidR="008103BD" w:rsidRDefault="008103BD" w:rsidP="00222C11">
      <w:pPr>
        <w:bidi/>
        <w:jc w:val="center"/>
        <w:rPr>
          <w:rFonts w:ascii="Tahoma" w:hAnsi="Tahoma" w:cs="Tahoma"/>
          <w:b/>
          <w:bCs/>
          <w:sz w:val="34"/>
          <w:szCs w:val="34"/>
        </w:rPr>
      </w:pPr>
    </w:p>
    <w:p w:rsidR="00222C11" w:rsidRDefault="00222C11" w:rsidP="008103BD">
      <w:pPr>
        <w:bidi/>
        <w:jc w:val="center"/>
        <w:rPr>
          <w:rFonts w:ascii="Tahoma" w:hAnsi="Tahoma" w:cs="Tahoma"/>
          <w:b/>
          <w:bCs/>
          <w:sz w:val="34"/>
          <w:szCs w:val="34"/>
        </w:rPr>
      </w:pPr>
      <w:r w:rsidRPr="00222C11">
        <w:rPr>
          <w:rFonts w:ascii="Tahoma" w:hAnsi="Tahoma" w:cs="Tahoma"/>
          <w:b/>
          <w:bCs/>
          <w:sz w:val="34"/>
          <w:szCs w:val="34"/>
        </w:rPr>
        <w:t>Fédération Tunisienne des Sociétés d'Assurances</w:t>
      </w:r>
    </w:p>
    <w:p w:rsidR="008103BD" w:rsidRDefault="008103BD" w:rsidP="008103BD">
      <w:pPr>
        <w:bidi/>
        <w:jc w:val="center"/>
        <w:rPr>
          <w:rFonts w:ascii="Tahoma" w:hAnsi="Tahoma" w:cs="Tahoma"/>
          <w:b/>
          <w:bCs/>
          <w:sz w:val="34"/>
          <w:szCs w:val="34"/>
        </w:rPr>
      </w:pPr>
    </w:p>
    <w:p w:rsidR="00995771" w:rsidRDefault="00995771" w:rsidP="008103BD">
      <w:pPr>
        <w:bidi/>
        <w:jc w:val="center"/>
        <w:rPr>
          <w:rFonts w:ascii="Tahoma" w:hAnsi="Tahoma" w:cs="Tahoma"/>
          <w:b/>
          <w:bCs/>
          <w:sz w:val="36"/>
          <w:szCs w:val="36"/>
        </w:rPr>
      </w:pPr>
      <w:r w:rsidRPr="00143089">
        <w:rPr>
          <w:rFonts w:ascii="Tahoma" w:hAnsi="Tahoma" w:cs="Tahoma"/>
          <w:b/>
          <w:bCs/>
          <w:sz w:val="36"/>
          <w:szCs w:val="36"/>
        </w:rPr>
        <w:t>Communiqué</w:t>
      </w:r>
    </w:p>
    <w:p w:rsidR="00995771" w:rsidRDefault="00995771" w:rsidP="00995771">
      <w:pPr>
        <w:bidi/>
        <w:jc w:val="center"/>
        <w:rPr>
          <w:rFonts w:ascii="Andalus" w:hAnsi="Andalus" w:cs="Andalus"/>
          <w:b/>
          <w:bCs/>
          <w:sz w:val="32"/>
          <w:szCs w:val="32"/>
        </w:rPr>
      </w:pPr>
    </w:p>
    <w:p w:rsidR="00C71BD8" w:rsidRDefault="00995771" w:rsidP="008103BD">
      <w:pPr>
        <w:jc w:val="both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Dans le cadre de son souci à la bonne application des dispositions de l’article 56 </w:t>
      </w:r>
      <w:r w:rsidR="00143089">
        <w:rPr>
          <w:rFonts w:asciiTheme="minorBidi" w:hAnsiTheme="minorBidi"/>
          <w:b/>
          <w:bCs/>
          <w:sz w:val="32"/>
          <w:szCs w:val="32"/>
        </w:rPr>
        <w:t>de la loi des finances pour l’année 2016 relatif</w:t>
      </w:r>
      <w:r w:rsidR="00C71BD8">
        <w:rPr>
          <w:rFonts w:asciiTheme="minorBidi" w:hAnsiTheme="minorBidi"/>
          <w:b/>
          <w:bCs/>
          <w:sz w:val="32"/>
          <w:szCs w:val="32"/>
        </w:rPr>
        <w:t xml:space="preserve"> à l’amélioration du recouvrement des taxes de circulation, l</w:t>
      </w:r>
      <w:r w:rsidRPr="00995771">
        <w:rPr>
          <w:rFonts w:asciiTheme="minorBidi" w:hAnsiTheme="minorBidi"/>
          <w:b/>
          <w:bCs/>
          <w:sz w:val="32"/>
          <w:szCs w:val="32"/>
        </w:rPr>
        <w:t xml:space="preserve">a Fédération Tunisienne des </w:t>
      </w:r>
      <w:r w:rsidR="008103BD">
        <w:rPr>
          <w:rFonts w:asciiTheme="minorBidi" w:hAnsiTheme="minorBidi"/>
          <w:b/>
          <w:bCs/>
          <w:sz w:val="32"/>
          <w:szCs w:val="32"/>
        </w:rPr>
        <w:t>S</w:t>
      </w:r>
      <w:r w:rsidRPr="00995771">
        <w:rPr>
          <w:rFonts w:asciiTheme="minorBidi" w:hAnsiTheme="minorBidi"/>
          <w:b/>
          <w:bCs/>
          <w:sz w:val="32"/>
          <w:szCs w:val="32"/>
        </w:rPr>
        <w:t>ociétés d’</w:t>
      </w:r>
      <w:r w:rsidR="008103BD">
        <w:rPr>
          <w:rFonts w:asciiTheme="minorBidi" w:hAnsiTheme="minorBidi"/>
          <w:b/>
          <w:bCs/>
          <w:sz w:val="32"/>
          <w:szCs w:val="32"/>
        </w:rPr>
        <w:t>A</w:t>
      </w:r>
      <w:r w:rsidRPr="00995771">
        <w:rPr>
          <w:rFonts w:asciiTheme="minorBidi" w:hAnsiTheme="minorBidi"/>
          <w:b/>
          <w:bCs/>
          <w:sz w:val="32"/>
          <w:szCs w:val="32"/>
        </w:rPr>
        <w:t>ssurances informe</w:t>
      </w:r>
      <w:r w:rsidR="00143089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8103BD">
        <w:rPr>
          <w:rFonts w:asciiTheme="minorBidi" w:hAnsiTheme="minorBidi"/>
          <w:b/>
          <w:bCs/>
          <w:sz w:val="32"/>
          <w:szCs w:val="32"/>
        </w:rPr>
        <w:t>les</w:t>
      </w:r>
      <w:r w:rsidR="000B6465">
        <w:rPr>
          <w:rFonts w:asciiTheme="minorBidi" w:hAnsiTheme="minorBidi"/>
          <w:b/>
          <w:bCs/>
          <w:sz w:val="32"/>
          <w:szCs w:val="32"/>
        </w:rPr>
        <w:t xml:space="preserve"> personne</w:t>
      </w:r>
      <w:r w:rsidR="008103BD">
        <w:rPr>
          <w:rFonts w:asciiTheme="minorBidi" w:hAnsiTheme="minorBidi"/>
          <w:b/>
          <w:bCs/>
          <w:sz w:val="32"/>
          <w:szCs w:val="32"/>
        </w:rPr>
        <w:t>s</w:t>
      </w:r>
      <w:r w:rsidR="000B6465">
        <w:rPr>
          <w:rFonts w:asciiTheme="minorBidi" w:hAnsiTheme="minorBidi"/>
          <w:b/>
          <w:bCs/>
          <w:sz w:val="32"/>
          <w:szCs w:val="32"/>
        </w:rPr>
        <w:t xml:space="preserve"> physique</w:t>
      </w:r>
      <w:r w:rsidR="008103BD">
        <w:rPr>
          <w:rFonts w:asciiTheme="minorBidi" w:hAnsiTheme="minorBidi"/>
          <w:b/>
          <w:bCs/>
          <w:sz w:val="32"/>
          <w:szCs w:val="32"/>
        </w:rPr>
        <w:t>s</w:t>
      </w:r>
      <w:r w:rsidR="000B6465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8103BD">
        <w:rPr>
          <w:rFonts w:asciiTheme="minorBidi" w:hAnsiTheme="minorBidi"/>
          <w:b/>
          <w:bCs/>
          <w:sz w:val="32"/>
          <w:szCs w:val="32"/>
        </w:rPr>
        <w:t>et</w:t>
      </w:r>
      <w:r w:rsidR="000B6465">
        <w:rPr>
          <w:rFonts w:asciiTheme="minorBidi" w:hAnsiTheme="minorBidi"/>
          <w:b/>
          <w:bCs/>
          <w:sz w:val="32"/>
          <w:szCs w:val="32"/>
        </w:rPr>
        <w:t xml:space="preserve"> morale</w:t>
      </w:r>
      <w:r w:rsidR="008103BD">
        <w:rPr>
          <w:rFonts w:asciiTheme="minorBidi" w:hAnsiTheme="minorBidi"/>
          <w:b/>
          <w:bCs/>
          <w:sz w:val="32"/>
          <w:szCs w:val="32"/>
        </w:rPr>
        <w:t>s</w:t>
      </w:r>
      <w:r w:rsidR="000B6465">
        <w:rPr>
          <w:rFonts w:asciiTheme="minorBidi" w:hAnsiTheme="minorBidi"/>
          <w:b/>
          <w:bCs/>
          <w:sz w:val="32"/>
          <w:szCs w:val="32"/>
        </w:rPr>
        <w:t xml:space="preserve"> ayant</w:t>
      </w:r>
      <w:r w:rsidR="008103BD">
        <w:rPr>
          <w:rFonts w:asciiTheme="minorBidi" w:hAnsiTheme="minorBidi"/>
          <w:b/>
          <w:bCs/>
          <w:sz w:val="32"/>
          <w:szCs w:val="32"/>
        </w:rPr>
        <w:t>s</w:t>
      </w:r>
      <w:r w:rsidR="000B6465">
        <w:rPr>
          <w:rFonts w:asciiTheme="minorBidi" w:hAnsiTheme="minorBidi"/>
          <w:b/>
          <w:bCs/>
          <w:sz w:val="32"/>
          <w:szCs w:val="32"/>
        </w:rPr>
        <w:t xml:space="preserve"> sollicité</w:t>
      </w:r>
      <w:r w:rsidR="008103BD">
        <w:rPr>
          <w:rFonts w:asciiTheme="minorBidi" w:hAnsiTheme="minorBidi"/>
          <w:b/>
          <w:bCs/>
          <w:sz w:val="32"/>
          <w:szCs w:val="32"/>
        </w:rPr>
        <w:t>es</w:t>
      </w:r>
      <w:r w:rsidR="000B6465">
        <w:rPr>
          <w:rFonts w:asciiTheme="minorBidi" w:hAnsiTheme="minorBidi"/>
          <w:b/>
          <w:bCs/>
          <w:sz w:val="32"/>
          <w:szCs w:val="32"/>
        </w:rPr>
        <w:t xml:space="preserve"> la </w:t>
      </w:r>
      <w:r w:rsidR="008103BD">
        <w:rPr>
          <w:rFonts w:asciiTheme="minorBidi" w:hAnsiTheme="minorBidi"/>
          <w:b/>
          <w:bCs/>
          <w:sz w:val="32"/>
          <w:szCs w:val="32"/>
        </w:rPr>
        <w:t>souscription</w:t>
      </w:r>
      <w:r w:rsidR="000B6465">
        <w:rPr>
          <w:rFonts w:asciiTheme="minorBidi" w:hAnsiTheme="minorBidi"/>
          <w:b/>
          <w:bCs/>
          <w:sz w:val="32"/>
          <w:szCs w:val="32"/>
        </w:rPr>
        <w:t xml:space="preserve"> d’un nouveau contrat d’assurance des véhicules terrestres à moteurs ou l</w:t>
      </w:r>
      <w:r w:rsidR="008103BD">
        <w:rPr>
          <w:rFonts w:asciiTheme="minorBidi" w:hAnsiTheme="minorBidi"/>
          <w:b/>
          <w:bCs/>
          <w:sz w:val="32"/>
          <w:szCs w:val="32"/>
        </w:rPr>
        <w:t>e</w:t>
      </w:r>
      <w:r w:rsidR="000B6465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8103BD">
        <w:rPr>
          <w:rFonts w:asciiTheme="minorBidi" w:hAnsiTheme="minorBidi"/>
          <w:b/>
          <w:bCs/>
          <w:sz w:val="32"/>
          <w:szCs w:val="32"/>
        </w:rPr>
        <w:t>renouvellement</w:t>
      </w:r>
      <w:r w:rsidR="000B6465">
        <w:rPr>
          <w:rFonts w:asciiTheme="minorBidi" w:hAnsiTheme="minorBidi"/>
          <w:b/>
          <w:bCs/>
          <w:sz w:val="32"/>
          <w:szCs w:val="32"/>
        </w:rPr>
        <w:t xml:space="preserve"> d’un contrat en vigueur </w:t>
      </w:r>
      <w:r w:rsidR="008103BD">
        <w:rPr>
          <w:rFonts w:asciiTheme="minorBidi" w:hAnsiTheme="minorBidi"/>
          <w:b/>
          <w:bCs/>
          <w:sz w:val="32"/>
          <w:szCs w:val="32"/>
        </w:rPr>
        <w:t>sont</w:t>
      </w:r>
      <w:r w:rsidR="000B6465">
        <w:rPr>
          <w:rFonts w:asciiTheme="minorBidi" w:hAnsiTheme="minorBidi"/>
          <w:b/>
          <w:bCs/>
          <w:sz w:val="32"/>
          <w:szCs w:val="32"/>
        </w:rPr>
        <w:t xml:space="preserve"> tenue</w:t>
      </w:r>
      <w:r w:rsidR="008103BD">
        <w:rPr>
          <w:rFonts w:asciiTheme="minorBidi" w:hAnsiTheme="minorBidi"/>
          <w:b/>
          <w:bCs/>
          <w:sz w:val="32"/>
          <w:szCs w:val="32"/>
        </w:rPr>
        <w:t>s</w:t>
      </w:r>
      <w:r w:rsidR="000B6465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C71BD8">
        <w:rPr>
          <w:rFonts w:asciiTheme="minorBidi" w:hAnsiTheme="minorBidi"/>
          <w:b/>
          <w:bCs/>
          <w:sz w:val="32"/>
          <w:szCs w:val="32"/>
        </w:rPr>
        <w:t xml:space="preserve">de présenter une copie de la quittance de paiement des taxes de circulation au titre de la période dont le délai de recouvrement est échu à la date de </w:t>
      </w:r>
      <w:r w:rsidR="008103BD">
        <w:rPr>
          <w:rFonts w:asciiTheme="minorBidi" w:hAnsiTheme="minorBidi"/>
          <w:b/>
          <w:bCs/>
          <w:sz w:val="32"/>
          <w:szCs w:val="32"/>
        </w:rPr>
        <w:t xml:space="preserve">la </w:t>
      </w:r>
      <w:r w:rsidR="00C71BD8">
        <w:rPr>
          <w:rFonts w:asciiTheme="minorBidi" w:hAnsiTheme="minorBidi"/>
          <w:b/>
          <w:bCs/>
          <w:sz w:val="32"/>
          <w:szCs w:val="32"/>
        </w:rPr>
        <w:t>délivrance des attestations d’assurances.</w:t>
      </w:r>
    </w:p>
    <w:p w:rsidR="00995771" w:rsidRPr="00995771" w:rsidRDefault="008103BD" w:rsidP="00C71BD8">
      <w:pPr>
        <w:jc w:val="both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sz w:val="32"/>
          <w:szCs w:val="32"/>
        </w:rPr>
        <w:t>L</w:t>
      </w:r>
      <w:r w:rsidR="00C71BD8">
        <w:rPr>
          <w:rFonts w:asciiTheme="minorBidi" w:hAnsiTheme="minorBidi"/>
          <w:b/>
          <w:bCs/>
          <w:sz w:val="32"/>
          <w:szCs w:val="32"/>
        </w:rPr>
        <w:t>es entreprises d’assurances et les intermédiaires en assurances</w:t>
      </w:r>
      <w:r w:rsidR="00222C11">
        <w:rPr>
          <w:rFonts w:asciiTheme="minorBidi" w:hAnsiTheme="minorBidi"/>
          <w:b/>
          <w:bCs/>
          <w:sz w:val="32"/>
          <w:szCs w:val="32"/>
        </w:rPr>
        <w:t xml:space="preserve"> ne peuvent délivrer les attestations d’assurances des véhicules terrestres à moteurs qu’en cas de présentation d’une copie de la quittance de paiement des taxes de circulation desdits véhicules. </w:t>
      </w:r>
      <w:r w:rsidR="00C71BD8">
        <w:rPr>
          <w:rFonts w:asciiTheme="minorBidi" w:hAnsiTheme="minorBidi"/>
          <w:b/>
          <w:bCs/>
          <w:sz w:val="32"/>
          <w:szCs w:val="32"/>
        </w:rPr>
        <w:t xml:space="preserve">  </w:t>
      </w:r>
      <w:r w:rsidR="00995771" w:rsidRPr="00995771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A7297B" w:rsidRDefault="00A7297B" w:rsidP="00A7297B">
      <w:pPr>
        <w:bidi/>
        <w:jc w:val="both"/>
        <w:rPr>
          <w:b/>
          <w:bCs/>
          <w:sz w:val="32"/>
          <w:szCs w:val="32"/>
          <w:rtl/>
          <w:lang w:bidi="ar-TN"/>
        </w:rPr>
      </w:pPr>
      <w:r>
        <w:rPr>
          <w:b/>
          <w:bCs/>
          <w:sz w:val="32"/>
          <w:szCs w:val="32"/>
        </w:rPr>
        <w:t xml:space="preserve"> </w:t>
      </w:r>
    </w:p>
    <w:p w:rsidR="006E4C9F" w:rsidRDefault="006E4C9F"/>
    <w:sectPr w:rsidR="006E4C9F" w:rsidSect="0062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05DA"/>
    <w:multiLevelType w:val="hybridMultilevel"/>
    <w:tmpl w:val="BECC4ECA"/>
    <w:lvl w:ilvl="0" w:tplc="EED40534">
      <w:numFmt w:val="bullet"/>
      <w:lvlText w:val=""/>
      <w:lvlJc w:val="left"/>
      <w:pPr>
        <w:tabs>
          <w:tab w:val="num" w:pos="391"/>
        </w:tabs>
        <w:ind w:left="31" w:firstLine="0"/>
      </w:pPr>
      <w:rPr>
        <w:rFonts w:ascii="Symbol" w:hAnsi="Symbol" w:hint="default"/>
        <w:b/>
        <w:i w:val="0"/>
        <w:color w:val="008000"/>
        <w:sz w:val="32"/>
      </w:rPr>
    </w:lvl>
    <w:lvl w:ilvl="1" w:tplc="062042BC">
      <w:start w:val="1"/>
      <w:numFmt w:val="bullet"/>
      <w:lvlText w:val="-"/>
      <w:lvlJc w:val="left"/>
      <w:pPr>
        <w:tabs>
          <w:tab w:val="num" w:pos="1433"/>
        </w:tabs>
        <w:ind w:left="1433" w:hanging="435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78"/>
        </w:tabs>
        <w:ind w:left="20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98"/>
        </w:tabs>
        <w:ind w:left="27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18"/>
        </w:tabs>
        <w:ind w:left="35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38"/>
        </w:tabs>
        <w:ind w:left="42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58"/>
        </w:tabs>
        <w:ind w:left="49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78"/>
        </w:tabs>
        <w:ind w:left="56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98"/>
        </w:tabs>
        <w:ind w:left="63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297B"/>
    <w:rsid w:val="000B6465"/>
    <w:rsid w:val="00143089"/>
    <w:rsid w:val="00183170"/>
    <w:rsid w:val="00222C11"/>
    <w:rsid w:val="004C75A2"/>
    <w:rsid w:val="005B5AF1"/>
    <w:rsid w:val="0062408E"/>
    <w:rsid w:val="0065209F"/>
    <w:rsid w:val="006E4C9F"/>
    <w:rsid w:val="008103BD"/>
    <w:rsid w:val="0081121B"/>
    <w:rsid w:val="00995771"/>
    <w:rsid w:val="00A7297B"/>
    <w:rsid w:val="00AA7814"/>
    <w:rsid w:val="00B35412"/>
    <w:rsid w:val="00BC25C4"/>
    <w:rsid w:val="00C71BD8"/>
    <w:rsid w:val="00D8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8E"/>
  </w:style>
  <w:style w:type="paragraph" w:styleId="Titre1">
    <w:name w:val="heading 1"/>
    <w:basedOn w:val="Normal"/>
    <w:next w:val="Normal"/>
    <w:link w:val="Titre1Car"/>
    <w:qFormat/>
    <w:rsid w:val="00A7297B"/>
    <w:pPr>
      <w:keepNext/>
      <w:bidi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36"/>
      <w:szCs w:val="36"/>
      <w:lang w:bidi="ar-TN"/>
    </w:rPr>
  </w:style>
  <w:style w:type="paragraph" w:styleId="Titre2">
    <w:name w:val="heading 2"/>
    <w:basedOn w:val="Normal"/>
    <w:next w:val="Normal"/>
    <w:link w:val="Titre2Car"/>
    <w:qFormat/>
    <w:rsid w:val="00A7297B"/>
    <w:pPr>
      <w:keepNext/>
      <w:bidi/>
      <w:spacing w:after="0" w:line="240" w:lineRule="auto"/>
      <w:outlineLvl w:val="1"/>
    </w:pPr>
    <w:rPr>
      <w:rFonts w:ascii="Tahoma" w:eastAsia="Times New Roman" w:hAnsi="Tahoma" w:cs="Tahoma"/>
      <w:b/>
      <w:bCs/>
      <w:sz w:val="36"/>
      <w:szCs w:val="36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297B"/>
    <w:rPr>
      <w:rFonts w:ascii="Tahoma" w:eastAsia="Times New Roman" w:hAnsi="Tahoma" w:cs="Tahoma"/>
      <w:b/>
      <w:bCs/>
      <w:sz w:val="36"/>
      <w:szCs w:val="36"/>
      <w:lang w:bidi="ar-TN"/>
    </w:rPr>
  </w:style>
  <w:style w:type="character" w:customStyle="1" w:styleId="Titre2Car">
    <w:name w:val="Titre 2 Car"/>
    <w:basedOn w:val="Policepardfaut"/>
    <w:link w:val="Titre2"/>
    <w:rsid w:val="00A7297B"/>
    <w:rPr>
      <w:rFonts w:ascii="Tahoma" w:eastAsia="Times New Roman" w:hAnsi="Tahoma" w:cs="Tahoma"/>
      <w:b/>
      <w:bCs/>
      <w:sz w:val="36"/>
      <w:szCs w:val="36"/>
      <w:lang w:bidi="ar-TN"/>
    </w:rPr>
  </w:style>
  <w:style w:type="paragraph" w:styleId="Paragraphedeliste">
    <w:name w:val="List Paragraph"/>
    <w:basedOn w:val="Normal"/>
    <w:uiPriority w:val="34"/>
    <w:qFormat/>
    <w:rsid w:val="00AA78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madiha</dc:creator>
  <cp:keywords/>
  <dc:description/>
  <cp:lastModifiedBy>madiha</cp:lastModifiedBy>
  <cp:revision>5</cp:revision>
  <cp:lastPrinted>2016-01-20T15:17:00Z</cp:lastPrinted>
  <dcterms:created xsi:type="dcterms:W3CDTF">2016-01-19T14:31:00Z</dcterms:created>
  <dcterms:modified xsi:type="dcterms:W3CDTF">2016-01-20T15:21:00Z</dcterms:modified>
</cp:coreProperties>
</file>